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郑州市公安机关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2023年便民利企十八项措施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2312" w:eastAsia="方正仿宋_GBK" w:cs="方正仿宋_GB2312"/>
          <w:b/>
          <w:bCs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b/>
          <w:bCs/>
          <w:sz w:val="32"/>
          <w:szCs w:val="32"/>
        </w:rPr>
        <w:t>为深入贯彻党的二十大精神，进一步解决人民群众急难愁盼问题，持续提高公安机关行政管理水平，推动“我为群众办实事”实践活动走深走实，按照市委、市政府和省公安厅部署要求，全力服务保障“十大战略”“四高地、一枢纽、一重地、一中心”和郑州都市圈建设，郑州市公安局结合工作实际，研究制定便民利企十八项措施如下：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一、推广“一窗通办”服务。</w:t>
      </w:r>
      <w:r>
        <w:rPr>
          <w:rFonts w:hint="eastAsia" w:ascii="方正仿宋_GBK" w:eastAsia="方正仿宋_GBK"/>
          <w:b/>
          <w:sz w:val="32"/>
          <w:szCs w:val="32"/>
        </w:rPr>
        <w:t>实施推广公安服务“一窗通办”工作，依托全市各级政务服务大厅及便民服务中心，设立9个公安“一窗通办”试点，方便群众办事。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二、首次申领居民身份证“全城通办”。</w:t>
      </w:r>
      <w:r>
        <w:rPr>
          <w:rFonts w:hint="eastAsia" w:ascii="方正仿宋_GBK" w:eastAsia="方正仿宋_GBK"/>
          <w:b/>
          <w:sz w:val="32"/>
          <w:szCs w:val="32"/>
        </w:rPr>
        <w:t>具有我市户籍的居民，凭居民户口簿和合法稳定就业、就学、居住的任何一种证明材料，可向我市任一公安户籍派出所首次申领居民身份证；未满16周岁的公民，由监护人陪同申领。</w:t>
      </w:r>
    </w:p>
    <w:p>
      <w:pPr>
        <w:pStyle w:val="2"/>
        <w:spacing w:before="0" w:line="560" w:lineRule="exact"/>
        <w:ind w:firstLine="643" w:firstLineChars="200"/>
        <w:rPr>
          <w:rFonts w:hint="eastAsia" w:ascii="方正仿宋_GBK" w:eastAsia="方正仿宋_GBK" w:hAnsiTheme="minorHAnsi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三、异地（市内户籍所在地以外的地方）申领临时居民身份证。</w:t>
      </w:r>
      <w:r>
        <w:rPr>
          <w:rFonts w:hint="eastAsia" w:ascii="方正仿宋_GBK" w:eastAsia="方正仿宋_GBK" w:hAnsiTheme="minorHAnsi"/>
          <w:b/>
          <w:sz w:val="32"/>
          <w:szCs w:val="32"/>
        </w:rPr>
        <w:t>具有我市户籍的居民在市内任一公安户籍派出所申领、换领、补领居民身份证期间，急需使用居民身份证的，可凭《居民身份证领取凭证》向该公安户籍派出所申领临时居民身份证；未满16周岁的公民，由监护人代为申领。</w:t>
      </w:r>
    </w:p>
    <w:p>
      <w:pPr>
        <w:pStyle w:val="2"/>
        <w:spacing w:before="0" w:line="560" w:lineRule="exact"/>
        <w:ind w:firstLine="643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四、推行亲属“帮办代办”居住证业务。</w:t>
      </w:r>
      <w:r>
        <w:rPr>
          <w:rFonts w:hint="eastAsia" w:ascii="方正仿宋_GBK" w:eastAsia="方正仿宋_GBK"/>
          <w:b/>
          <w:sz w:val="32"/>
          <w:szCs w:val="32"/>
        </w:rPr>
        <w:t>我市居民可依托“郑好办APP”和“郑州警民通”微信公众号，帮助60周岁以上和不满18周岁的近亲属，线上办理居住证业务。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五、缩短赴港澳商务签注办理时限。</w:t>
      </w:r>
      <w:r>
        <w:rPr>
          <w:rFonts w:hint="eastAsia" w:ascii="方正仿宋_GBK" w:eastAsia="方正仿宋_GBK"/>
          <w:b/>
          <w:sz w:val="32"/>
          <w:szCs w:val="32"/>
        </w:rPr>
        <w:t>赴港澳商务签注办理时限由7个工作日缩短至3个工作日，对符合加急事由提供证明材料的赴港澳商务人员，签注时限缩短至1个工作日。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六、缩短外国人工作居留证件办理时限。</w:t>
      </w:r>
      <w:r>
        <w:rPr>
          <w:rFonts w:hint="eastAsia" w:ascii="方正仿宋_GBK" w:eastAsia="方正仿宋_GBK"/>
          <w:b/>
          <w:sz w:val="32"/>
          <w:szCs w:val="32"/>
        </w:rPr>
        <w:t>对于在郑企事业单位急需的外国工作人员，工作居留许可签发时限由15个工作日缩短至7个工作日，助力企业人才引进。</w:t>
      </w:r>
    </w:p>
    <w:p>
      <w:pPr>
        <w:spacing w:line="560" w:lineRule="exact"/>
        <w:ind w:firstLine="643" w:firstLineChars="2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七、外国人工作许可和工作居留许可“一窗通办、并联办理”。</w:t>
      </w:r>
      <w:r>
        <w:rPr>
          <w:rFonts w:hint="eastAsia" w:ascii="方正仿宋_GBK" w:eastAsia="方正仿宋_GBK"/>
          <w:b/>
          <w:sz w:val="32"/>
          <w:szCs w:val="32"/>
        </w:rPr>
        <w:t>在郑州市移民事务服务中心（金水东路85号河南自由贸易试验区郑州片区服务中心一楼）开设专窗，实现外国人工作许可和工作居留许可“一窗通办、并联办理”。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八、为驾驶证申请人提供精准预约考试场次服务。</w:t>
      </w:r>
      <w:r>
        <w:rPr>
          <w:rFonts w:hint="eastAsia" w:ascii="方正仿宋_GBK" w:eastAsia="方正仿宋_GBK"/>
          <w:b/>
          <w:sz w:val="32"/>
          <w:szCs w:val="32"/>
        </w:rPr>
        <w:t>申请人在12123平台约定日期后，可按个人需求再次预约具体考试场次，缩短候考时间。</w:t>
      </w:r>
    </w:p>
    <w:p>
      <w:pPr>
        <w:pStyle w:val="2"/>
        <w:spacing w:before="0" w:line="560" w:lineRule="exact"/>
        <w:ind w:firstLine="643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九、二手车交易“一站式”办理。</w:t>
      </w:r>
      <w:r>
        <w:rPr>
          <w:rFonts w:hint="eastAsia" w:ascii="方正仿宋_GBK" w:eastAsia="方正仿宋_GBK"/>
          <w:b/>
          <w:sz w:val="32"/>
          <w:szCs w:val="32"/>
        </w:rPr>
        <w:t>群众可在二手车交易市场机动车登记服务站“一站式”办理全部业务，减少群众往返办事负担。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十、推出多元化开具无犯罪证明业务。</w:t>
      </w:r>
      <w:r>
        <w:rPr>
          <w:rFonts w:hint="eastAsia" w:ascii="方正仿宋_GBK" w:eastAsia="方正仿宋_GBK"/>
          <w:b/>
          <w:sz w:val="32"/>
          <w:szCs w:val="32"/>
        </w:rPr>
        <w:t>群众在</w: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“豫事办”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APP、</w: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“河南警民通”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APP、</w:t>
      </w:r>
      <w:r>
        <w:rPr>
          <w:rFonts w:hint="eastAsia" w:ascii="方正仿宋_GBK" w:eastAsia="方正仿宋_GBK"/>
          <w:b/>
          <w:sz w:val="32"/>
          <w:szCs w:val="32"/>
        </w:rPr>
        <w:t>“郑好办”APP</w: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和</w:t>
      </w:r>
      <w:r>
        <w:rPr>
          <w:rFonts w:hint="eastAsia" w:ascii="方正仿宋_GBK" w:eastAsia="方正仿宋_GBK"/>
          <w:b/>
          <w:sz w:val="32"/>
          <w:szCs w:val="32"/>
        </w:rPr>
        <w:t>“郑州警民通”微信公众号上，自助申领无犯罪证明，可实现手机下载</w:t>
      </w:r>
      <w:bookmarkStart w:id="0" w:name="_GoBack"/>
      <w:bookmarkEnd w:id="0"/>
      <w:r>
        <w:rPr>
          <w:rFonts w:hint="eastAsia" w:ascii="方正仿宋_GBK" w:eastAsia="方正仿宋_GBK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十一、编制并发布全市公安机关行政许可事项“同事同标”办事指南。</w:t>
      </w:r>
      <w:r>
        <w:rPr>
          <w:rFonts w:hint="eastAsia" w:ascii="方正仿宋_GBK" w:eastAsia="方正仿宋_GBK"/>
          <w:b/>
          <w:sz w:val="32"/>
          <w:szCs w:val="32"/>
        </w:rPr>
        <w:t>对照《郑州市行政许可事项清单（2023年版）》，梳理公布全市公安机关行政许可事项“同事同标”办事指南，实现同一事项无差别办理。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十二、设立“涉企服务公安专窗”。</w:t>
      </w:r>
      <w:r>
        <w:rPr>
          <w:rFonts w:hint="eastAsia" w:ascii="方正仿宋_GBK" w:eastAsia="方正仿宋_GBK"/>
          <w:b/>
          <w:sz w:val="32"/>
          <w:szCs w:val="32"/>
        </w:rPr>
        <w:t>在市、县两级政务服务中心咨询服务台设立“涉企服务公安专窗”，为办事企业提供预约咨询、辅导帮办等全流程服务。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十三、优化文化、商贸类活动审批服务。</w:t>
      </w:r>
      <w:r>
        <w:rPr>
          <w:rFonts w:hint="eastAsia" w:ascii="方正仿宋_GBK" w:eastAsia="方正仿宋_GBK"/>
          <w:b/>
          <w:sz w:val="32"/>
          <w:szCs w:val="32"/>
        </w:rPr>
        <w:t xml:space="preserve">5000人以下大型活动受理工作进入县（市）区政务服务大厅办理。推广在市政务服务网上报批，将审批时限由7个工作日缩短至5个工作日。 </w:t>
      </w:r>
    </w:p>
    <w:p>
      <w:pPr>
        <w:pStyle w:val="2"/>
        <w:spacing w:before="0" w:line="560" w:lineRule="exact"/>
        <w:ind w:firstLine="643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十四、实施重点企业警官联络制。</w:t>
      </w:r>
      <w:r>
        <w:rPr>
          <w:rFonts w:hint="eastAsia" w:ascii="方正仿宋_GBK" w:eastAsia="方正仿宋_GBK"/>
          <w:b/>
          <w:sz w:val="32"/>
          <w:szCs w:val="32"/>
        </w:rPr>
        <w:t>重点企事业单位在办理出入境业务时，可联系出入境助企服务警官，享受专人导办、专窗办理、加急办理等便利服务。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十五、优化适用涉企案件强制性措施。</w:t>
      </w:r>
      <w:r>
        <w:rPr>
          <w:rFonts w:hint="eastAsia" w:ascii="方正仿宋_GBK" w:eastAsia="方正仿宋_GBK"/>
          <w:b/>
          <w:sz w:val="32"/>
          <w:szCs w:val="32"/>
        </w:rPr>
        <w:t>对查封、扣押、冻结的涉案财产，经查明确实与案件无关的，快速审查，3日以内解除查封、扣押、冻结，予以退还，保障企业正常生产经营。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十六、严厉打击整治“解债”类非法集资犯罪。</w:t>
      </w:r>
      <w:r>
        <w:rPr>
          <w:rFonts w:hint="eastAsia" w:ascii="方正仿宋_GBK" w:eastAsia="方正仿宋_GBK"/>
          <w:b/>
          <w:sz w:val="32"/>
          <w:szCs w:val="32"/>
        </w:rPr>
        <w:t>聚焦以债权债务置换、化解为名义，诱使客户缴纳咨询费、保证金、投资入股、定期返还收益等犯罪形式，全面彻查涉网非法集资犯罪活动。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十七、开展“昆仑2023”专项行动。</w:t>
      </w:r>
      <w:r>
        <w:rPr>
          <w:rFonts w:hint="eastAsia" w:ascii="方正仿宋_GBK" w:eastAsia="方正仿宋_GBK"/>
          <w:b/>
          <w:sz w:val="32"/>
          <w:szCs w:val="32"/>
        </w:rPr>
        <w:t>打击食药、农资领域违法犯罪，保障人民群众“舌尖上的安全”和用药安全；对于侵犯企业战略性科技成果、原创作品、商业秘密、驰名商标和老字号品牌等知识产权的犯罪行为，快速响应、严厉打击。</w:t>
      </w:r>
    </w:p>
    <w:p>
      <w:pPr>
        <w:spacing w:line="560" w:lineRule="exact"/>
        <w:ind w:firstLine="643" w:firstLineChars="2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楷体_GBK" w:hAnsi="方正楷体_GB2312" w:eastAsia="方正楷体_GBK" w:cs="方正楷体_GB2312"/>
          <w:b/>
          <w:sz w:val="32"/>
          <w:szCs w:val="32"/>
        </w:rPr>
        <w:t>十八、开展防诈骗宣传进企业服务活动。</w:t>
      </w:r>
      <w:r>
        <w:rPr>
          <w:rFonts w:hint="eastAsia" w:ascii="方正仿宋_GBK" w:eastAsia="方正仿宋_GBK"/>
          <w:b/>
          <w:sz w:val="32"/>
          <w:szCs w:val="32"/>
        </w:rPr>
        <w:t>每月开展“防电诈宣传进企业”服务活动，揭秘骗术伎俩，解析电诈规律，还原真实案例，让群众远离诈骗陷阱。</w:t>
      </w:r>
    </w:p>
    <w:sectPr>
      <w:footerReference r:id="rId3" w:type="default"/>
      <w:pgSz w:w="11906" w:h="16838"/>
      <w:pgMar w:top="2041" w:right="1531" w:bottom="2041" w:left="1531" w:header="1418" w:footer="181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9A1D0A0-EE33-45B3-9B74-39367139E47B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6C902FA-47CC-426F-BFC5-EFDC6C8CCFB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B6D2CC8-685D-421E-8B68-5938D77DC68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408BD7D-FC13-4C3A-A23B-6360C72A2F2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E911292-ADD7-470E-9983-AAC90B34779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7CA8C22-7D15-4F63-9C16-F16DEA0345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ODViMzYwMmZiZmM2NGYxOTkxMTEwNWRiMWRmYTAifQ=="/>
  </w:docVars>
  <w:rsids>
    <w:rsidRoot w:val="48337368"/>
    <w:rsid w:val="00371899"/>
    <w:rsid w:val="003B56BE"/>
    <w:rsid w:val="003B5D13"/>
    <w:rsid w:val="007D5D06"/>
    <w:rsid w:val="00C42F97"/>
    <w:rsid w:val="00D41AFD"/>
    <w:rsid w:val="00F21B5C"/>
    <w:rsid w:val="01F36FCC"/>
    <w:rsid w:val="08EE4992"/>
    <w:rsid w:val="0F114033"/>
    <w:rsid w:val="10551F9C"/>
    <w:rsid w:val="10C97709"/>
    <w:rsid w:val="124B69B1"/>
    <w:rsid w:val="1627272E"/>
    <w:rsid w:val="1CA95615"/>
    <w:rsid w:val="1F6DCEA0"/>
    <w:rsid w:val="1FE157C8"/>
    <w:rsid w:val="208C4429"/>
    <w:rsid w:val="2A67A4FA"/>
    <w:rsid w:val="2A6A44B6"/>
    <w:rsid w:val="370D2827"/>
    <w:rsid w:val="37EDBD02"/>
    <w:rsid w:val="3B05407E"/>
    <w:rsid w:val="3B7F2DCA"/>
    <w:rsid w:val="3C4B6577"/>
    <w:rsid w:val="3CD133A6"/>
    <w:rsid w:val="3D0E40C2"/>
    <w:rsid w:val="3EEA53C8"/>
    <w:rsid w:val="40B2123E"/>
    <w:rsid w:val="42713E15"/>
    <w:rsid w:val="428471F1"/>
    <w:rsid w:val="442E29C3"/>
    <w:rsid w:val="45681473"/>
    <w:rsid w:val="46DF5006"/>
    <w:rsid w:val="475D0EB5"/>
    <w:rsid w:val="48337368"/>
    <w:rsid w:val="4841536C"/>
    <w:rsid w:val="4DEF3EBA"/>
    <w:rsid w:val="56E83D74"/>
    <w:rsid w:val="5736520C"/>
    <w:rsid w:val="57DF4C37"/>
    <w:rsid w:val="57EF1945"/>
    <w:rsid w:val="581B4FDA"/>
    <w:rsid w:val="592D5289"/>
    <w:rsid w:val="5EC5951E"/>
    <w:rsid w:val="5FBC6CF0"/>
    <w:rsid w:val="63147941"/>
    <w:rsid w:val="671A6633"/>
    <w:rsid w:val="694E4045"/>
    <w:rsid w:val="6FBF9CD4"/>
    <w:rsid w:val="6FC575EA"/>
    <w:rsid w:val="6FDABCD8"/>
    <w:rsid w:val="6FDC7271"/>
    <w:rsid w:val="76466B9F"/>
    <w:rsid w:val="777B7DA5"/>
    <w:rsid w:val="79DFEFC2"/>
    <w:rsid w:val="7DFC5880"/>
    <w:rsid w:val="AFF35AE0"/>
    <w:rsid w:val="B5A7CF70"/>
    <w:rsid w:val="BDFFB5FA"/>
    <w:rsid w:val="BFBD7954"/>
    <w:rsid w:val="C9F6B9D6"/>
    <w:rsid w:val="DE7FDCDB"/>
    <w:rsid w:val="DF792F4A"/>
    <w:rsid w:val="EF3F8380"/>
    <w:rsid w:val="F5ED0E16"/>
    <w:rsid w:val="F9A22E5C"/>
    <w:rsid w:val="FAFF89AD"/>
    <w:rsid w:val="FDE7FB85"/>
    <w:rsid w:val="FEBBBFAD"/>
    <w:rsid w:val="FEBF4B67"/>
    <w:rsid w:val="FFDE6B36"/>
    <w:rsid w:val="FF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标题1"/>
    <w:basedOn w:val="1"/>
    <w:next w:val="1"/>
    <w:qFormat/>
    <w:uiPriority w:val="0"/>
    <w:pPr>
      <w:spacing w:before="120"/>
    </w:pPr>
    <w:rPr>
      <w:rFonts w:ascii="Calibri Light" w:hAnsi="Calibri Light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1658</Words>
  <Characters>1686</Characters>
  <Lines>12</Lines>
  <Paragraphs>3</Paragraphs>
  <TotalTime>0</TotalTime>
  <ScaleCrop>false</ScaleCrop>
  <LinksUpToDate>false</LinksUpToDate>
  <CharactersWithSpaces>1687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2023-05-24T08:06:00Z</dcterms:created>
  <dc:creator>范高举</dc:creator>
  <cp:lastModifiedBy>范高举</cp:lastModifiedBy>
  <cp:lastPrinted>2023-05-19T00:32:00Z</cp:lastPrinted>
  <dcterms:modified xsi:type="dcterms:W3CDTF">2023-05-26T02:20:04Z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29D1A9211D724555945B16829A564B1F_13</vt:lpwstr>
  </property>
</Properties>
</file>